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3008" w14:textId="21F6F94F" w:rsidR="00EF43DC" w:rsidRPr="004C539C" w:rsidRDefault="000C6273" w:rsidP="00EF43DC">
      <w:pPr>
        <w:rPr>
          <w:rFonts w:cstheme="minorHAnsi"/>
          <w:b/>
          <w:bCs/>
          <w:sz w:val="24"/>
          <w:szCs w:val="24"/>
        </w:rPr>
      </w:pPr>
      <w:r w:rsidRPr="004C539C">
        <w:rPr>
          <w:rFonts w:cstheme="minorHAnsi"/>
          <w:b/>
          <w:bCs/>
          <w:sz w:val="24"/>
          <w:szCs w:val="24"/>
        </w:rPr>
        <w:t>End User Tariff</w:t>
      </w:r>
      <w:r w:rsidR="001D05DB" w:rsidRPr="004C539C">
        <w:rPr>
          <w:rFonts w:cstheme="minorHAnsi"/>
          <w:b/>
          <w:bCs/>
          <w:sz w:val="24"/>
          <w:szCs w:val="24"/>
        </w:rPr>
        <w:t>s</w:t>
      </w:r>
      <w:r w:rsidRPr="004C539C">
        <w:rPr>
          <w:rFonts w:cstheme="minorHAnsi"/>
          <w:b/>
          <w:bCs/>
          <w:sz w:val="24"/>
          <w:szCs w:val="24"/>
        </w:rPr>
        <w:t xml:space="preserve"> for </w:t>
      </w:r>
      <w:r w:rsidR="009F1323">
        <w:rPr>
          <w:rFonts w:cstheme="minorHAnsi"/>
          <w:b/>
          <w:bCs/>
          <w:sz w:val="24"/>
          <w:szCs w:val="24"/>
        </w:rPr>
        <w:t>Low Voltage R</w:t>
      </w:r>
      <w:r w:rsidRPr="004C539C">
        <w:rPr>
          <w:rFonts w:cstheme="minorHAnsi"/>
          <w:b/>
          <w:bCs/>
          <w:sz w:val="24"/>
          <w:szCs w:val="24"/>
        </w:rPr>
        <w:t xml:space="preserve">etail </w:t>
      </w:r>
      <w:r w:rsidR="009F1323">
        <w:rPr>
          <w:rFonts w:cstheme="minorHAnsi"/>
          <w:b/>
          <w:bCs/>
          <w:sz w:val="24"/>
          <w:szCs w:val="24"/>
        </w:rPr>
        <w:t>supply</w:t>
      </w:r>
      <w:r w:rsidRPr="004C539C">
        <w:rPr>
          <w:rFonts w:cstheme="minorHAnsi"/>
          <w:b/>
          <w:bCs/>
          <w:sz w:val="24"/>
          <w:szCs w:val="24"/>
        </w:rPr>
        <w:t xml:space="preserve"> </w:t>
      </w:r>
    </w:p>
    <w:p w14:paraId="5B889BE2" w14:textId="457452ED" w:rsidR="006F6B22" w:rsidRPr="004C539C" w:rsidRDefault="00EF43DC" w:rsidP="00A30E17">
      <w:pPr>
        <w:jc w:val="both"/>
        <w:rPr>
          <w:rFonts w:cstheme="minorHAnsi"/>
        </w:rPr>
      </w:pPr>
      <w:r w:rsidRPr="00BB3E70">
        <w:rPr>
          <w:rFonts w:cstheme="minorHAnsi"/>
        </w:rPr>
        <w:t>The following rates shall apply to supplies at each individual point of supply delivered and metered at 400/230 Volt nominal and where the contract demand is less than or equal to 42 kVA.</w:t>
      </w:r>
    </w:p>
    <w:tbl>
      <w:tblPr>
        <w:tblW w:w="9265" w:type="dxa"/>
        <w:jc w:val="center"/>
        <w:tblLook w:val="04A0" w:firstRow="1" w:lastRow="0" w:firstColumn="1" w:lastColumn="0" w:noHBand="0" w:noVBand="1"/>
      </w:tblPr>
      <w:tblGrid>
        <w:gridCol w:w="1370"/>
        <w:gridCol w:w="4410"/>
        <w:gridCol w:w="1477"/>
        <w:gridCol w:w="2008"/>
      </w:tblGrid>
      <w:tr w:rsidR="00282F35" w:rsidRPr="004C539C" w14:paraId="6EDE22F9" w14:textId="77777777" w:rsidTr="009518F0">
        <w:trPr>
          <w:trHeight w:val="62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8897" w14:textId="11AA0341" w:rsidR="00282F35" w:rsidRPr="00BB3E70" w:rsidRDefault="00282F35" w:rsidP="009518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Category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634" w14:textId="639479FB" w:rsidR="00282F35" w:rsidRPr="00BB3E70" w:rsidRDefault="00282F35" w:rsidP="009518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Consumption Block / Time </w:t>
            </w:r>
            <w:r w:rsidR="004428DD">
              <w:rPr>
                <w:rFonts w:eastAsia="Times New Roman" w:cstheme="minorHAnsi"/>
                <w:b/>
                <w:bCs/>
                <w:color w:val="000000"/>
              </w:rPr>
              <w:t>o</w:t>
            </w:r>
            <w:r>
              <w:rPr>
                <w:rFonts w:eastAsia="Times New Roman" w:cstheme="minorHAnsi"/>
                <w:b/>
                <w:bCs/>
                <w:color w:val="000000"/>
              </w:rPr>
              <w:t>f Use Period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1ADD" w14:textId="3712ACDD" w:rsidR="00282F35" w:rsidRPr="004C539C" w:rsidRDefault="00282F35" w:rsidP="009518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Energy </w:t>
            </w:r>
            <w:r>
              <w:rPr>
                <w:rFonts w:eastAsia="Times New Roman" w:cstheme="minorHAnsi"/>
                <w:b/>
                <w:bCs/>
                <w:color w:val="000000"/>
              </w:rPr>
              <w:t>Charge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 (LKR/kWh)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399" w14:textId="0D0EBBF8" w:rsidR="00282F35" w:rsidRPr="004C539C" w:rsidRDefault="00282F35" w:rsidP="009518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Monthly 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Fixed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C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>harge (LKR/month)</w:t>
            </w:r>
          </w:p>
        </w:tc>
      </w:tr>
      <w:tr w:rsidR="00282F35" w:rsidRPr="004C539C" w14:paraId="386F8066" w14:textId="77777777" w:rsidTr="009518F0">
        <w:trPr>
          <w:trHeight w:val="512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31D9" w14:textId="765EB90E" w:rsidR="00282F35" w:rsidRDefault="00282F35" w:rsidP="00282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Domestic</w:t>
            </w:r>
          </w:p>
          <w:p w14:paraId="2D55E1F7" w14:textId="77839FAD" w:rsidR="00282F35" w:rsidRPr="004C539C" w:rsidRDefault="00282F35" w:rsidP="00282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D-1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BD06" w14:textId="17238043" w:rsidR="00282F35" w:rsidRPr="004C539C" w:rsidRDefault="00302D57" w:rsidP="00425B39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If </w:t>
            </w:r>
            <w:r w:rsidR="00282F35" w:rsidRPr="004C539C">
              <w:rPr>
                <w:rFonts w:eastAsia="Times New Roman" w:cstheme="minorHAnsi"/>
                <w:b/>
                <w:bCs/>
                <w:color w:val="000000"/>
              </w:rPr>
              <w:t xml:space="preserve">Consumption </w:t>
            </w:r>
            <w:r w:rsidR="0036159E">
              <w:rPr>
                <w:rFonts w:eastAsia="Times New Roman" w:cstheme="minorHAnsi"/>
                <w:b/>
                <w:bCs/>
                <w:color w:val="000000"/>
              </w:rPr>
              <w:t>0 -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282F35" w:rsidRPr="004C539C">
              <w:rPr>
                <w:rFonts w:eastAsia="Times New Roman" w:cstheme="minorHAnsi"/>
                <w:b/>
                <w:bCs/>
                <w:color w:val="000000"/>
              </w:rPr>
              <w:t>60 kWh per month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(Incre</w:t>
            </w:r>
            <w:r w:rsidR="00DD2BDA">
              <w:rPr>
                <w:rFonts w:eastAsia="Times New Roman" w:cstheme="minorHAnsi"/>
                <w:b/>
                <w:bCs/>
                <w:color w:val="000000"/>
              </w:rPr>
              <w:t>mental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Block)</w:t>
            </w:r>
          </w:p>
        </w:tc>
      </w:tr>
      <w:tr w:rsidR="00282F35" w:rsidRPr="004C539C" w14:paraId="50DFF0ED" w14:textId="77777777" w:rsidTr="009518F0">
        <w:trPr>
          <w:trHeight w:val="98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BEC28" w14:textId="77777777" w:rsidR="00282F35" w:rsidRPr="004C539C" w:rsidRDefault="00282F35" w:rsidP="00A07B0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2FB" w14:textId="52CA83B7" w:rsidR="00282F35" w:rsidRPr="004C539C" w:rsidRDefault="00282F35" w:rsidP="00A07B0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Block 1: 0-30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1959" w14:textId="626EB508" w:rsidR="00282F35" w:rsidRPr="004C539C" w:rsidRDefault="00282F35" w:rsidP="00A07B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  8.00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044" w14:textId="17B5263D" w:rsidR="00282F35" w:rsidRPr="004C539C" w:rsidRDefault="00282F35" w:rsidP="00A07B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 120.00 </w:t>
            </w:r>
          </w:p>
        </w:tc>
      </w:tr>
      <w:tr w:rsidR="00282F35" w:rsidRPr="004C539C" w14:paraId="14F80D94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C29D" w14:textId="77777777" w:rsidR="00282F35" w:rsidRPr="004C539C" w:rsidRDefault="00282F35" w:rsidP="00A07B0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8CE3" w14:textId="360F8ADB" w:rsidR="00282F35" w:rsidRPr="004C539C" w:rsidRDefault="00282F35" w:rsidP="00A07B0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Block 2: 31-60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89F" w14:textId="659D407F" w:rsidR="00282F35" w:rsidRPr="004C539C" w:rsidRDefault="00282F35" w:rsidP="00A07B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10.00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33E" w14:textId="531217E9" w:rsidR="00282F35" w:rsidRPr="004C539C" w:rsidRDefault="00282F35" w:rsidP="00A07B0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 240.00 </w:t>
            </w:r>
          </w:p>
        </w:tc>
      </w:tr>
      <w:tr w:rsidR="00282F35" w:rsidRPr="004C539C" w14:paraId="42EA2A53" w14:textId="77777777" w:rsidTr="009518F0">
        <w:trPr>
          <w:trHeight w:val="485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8FB5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22A7" w14:textId="46498217" w:rsidR="00282F35" w:rsidRPr="004C539C" w:rsidRDefault="00302D57" w:rsidP="00425B39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If </w:t>
            </w:r>
            <w:r w:rsidR="00282F35" w:rsidRPr="004C539C">
              <w:rPr>
                <w:rFonts w:eastAsia="Times New Roman" w:cstheme="minorHAnsi"/>
                <w:b/>
                <w:bCs/>
                <w:color w:val="000000"/>
              </w:rPr>
              <w:t>Consumption above 60 kWh per month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(Incre</w:t>
            </w:r>
            <w:r w:rsidR="00DD2BDA">
              <w:rPr>
                <w:rFonts w:eastAsia="Times New Roman" w:cstheme="minorHAnsi"/>
                <w:b/>
                <w:bCs/>
                <w:color w:val="000000"/>
              </w:rPr>
              <w:t>mental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Block)</w:t>
            </w:r>
          </w:p>
        </w:tc>
      </w:tr>
      <w:tr w:rsidR="00282F35" w:rsidRPr="004C539C" w14:paraId="28752DDE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4E3D5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A5EF" w14:textId="6153D164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Block 1: 0-60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ABF" w14:textId="53D41AC6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16.00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77B3" w14:textId="557267B8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>N/A </w:t>
            </w:r>
          </w:p>
        </w:tc>
      </w:tr>
      <w:tr w:rsidR="00282F35" w:rsidRPr="004C539C" w14:paraId="30BCE1F6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E0F7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0C9" w14:textId="55F561E8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Block 2: 61-90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DF1" w14:textId="1EDCB3C5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16.00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F14" w14:textId="7A302ACA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 360.00 </w:t>
            </w:r>
          </w:p>
        </w:tc>
      </w:tr>
      <w:tr w:rsidR="00282F35" w:rsidRPr="004C539C" w14:paraId="4E44F590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CBEAF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75CE" w14:textId="12F83BD9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 xml:space="preserve">Block </w:t>
            </w:r>
            <w:r>
              <w:rPr>
                <w:rFonts w:eastAsia="Times New Roman" w:cstheme="minorHAnsi"/>
                <w:color w:val="000000"/>
              </w:rPr>
              <w:t>3</w:t>
            </w:r>
            <w:r w:rsidRPr="004C539C">
              <w:rPr>
                <w:rFonts w:eastAsia="Times New Roman" w:cstheme="minorHAnsi"/>
                <w:color w:val="000000"/>
              </w:rPr>
              <w:t xml:space="preserve">: </w:t>
            </w:r>
            <w:r>
              <w:rPr>
                <w:rFonts w:eastAsia="Times New Roman" w:cstheme="minorHAnsi"/>
                <w:color w:val="000000"/>
              </w:rPr>
              <w:t>9</w:t>
            </w:r>
            <w:r w:rsidRPr="004C539C">
              <w:rPr>
                <w:rFonts w:eastAsia="Times New Roman" w:cstheme="minorHAnsi"/>
                <w:color w:val="000000"/>
              </w:rPr>
              <w:t>1-180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69F3" w14:textId="7D95379F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50.00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81A" w14:textId="3BB0568E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 960.00 </w:t>
            </w:r>
          </w:p>
        </w:tc>
      </w:tr>
      <w:tr w:rsidR="00282F35" w:rsidRPr="004C539C" w14:paraId="1F616B5F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B4AC9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1BD" w14:textId="61CC2B05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 xml:space="preserve">Block 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4C539C">
              <w:rPr>
                <w:rFonts w:eastAsia="Times New Roman" w:cstheme="minorHAnsi"/>
                <w:color w:val="000000"/>
              </w:rPr>
              <w:t>: Above 180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77D" w14:textId="3C46E232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  75.00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7DB" w14:textId="3C392B17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1,500.00 </w:t>
            </w:r>
          </w:p>
        </w:tc>
      </w:tr>
      <w:tr w:rsidR="00282F35" w:rsidRPr="004C539C" w14:paraId="29044E51" w14:textId="77777777" w:rsidTr="009518F0">
        <w:trPr>
          <w:trHeight w:val="512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2A53" w14:textId="77777777" w:rsidR="00282F35" w:rsidRPr="004C539C" w:rsidRDefault="00282F35" w:rsidP="007544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281" w14:textId="1090F769" w:rsidR="00282F35" w:rsidRPr="004C539C" w:rsidRDefault="00282F35" w:rsidP="0075445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4C539C">
              <w:rPr>
                <w:rFonts w:eastAsia="Times New Roman" w:cstheme="minorHAnsi"/>
                <w:b/>
                <w:bCs/>
                <w:color w:val="000000"/>
              </w:rPr>
              <w:t>Domestic – Optional Time of Use Tariff</w:t>
            </w:r>
            <w:r w:rsidRPr="004C539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282F35" w:rsidRPr="004C539C" w14:paraId="5EC8A734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4BF26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39B7" w14:textId="7E1467F3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Peak (18:30 - 22:30 hours)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463" w14:textId="69C01EE2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>90.00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971" w14:textId="77777777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> </w:t>
            </w:r>
          </w:p>
          <w:p w14:paraId="420B0E76" w14:textId="30A37B81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 xml:space="preserve">    1,500.00 </w:t>
            </w:r>
          </w:p>
          <w:p w14:paraId="4C48DBDC" w14:textId="3D36975D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> </w:t>
            </w:r>
          </w:p>
        </w:tc>
      </w:tr>
      <w:tr w:rsidR="00282F35" w:rsidRPr="004C539C" w14:paraId="1FD269AE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95F9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921" w14:textId="358607F8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Day (05:30 - 18:30 hours)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574" w14:textId="0F9C8A66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>70.00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268" w14:textId="16A0073A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282F35" w:rsidRPr="004C539C" w14:paraId="38BC3E6A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B40" w14:textId="77777777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FE7E" w14:textId="1C426C58" w:rsidR="00282F35" w:rsidRPr="004C539C" w:rsidRDefault="00282F35" w:rsidP="00425B3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Off-peak (22:30 – 05:30 hours)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300" w14:textId="4D0F324C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  <w:color w:val="000000"/>
              </w:rPr>
              <w:t>30.00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075" w14:textId="4EFFEB9C" w:rsidR="00282F35" w:rsidRPr="004C539C" w:rsidRDefault="00282F35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F1215C" w:rsidRPr="004C539C" w14:paraId="105AF3ED" w14:textId="77777777" w:rsidTr="009518F0">
        <w:trPr>
          <w:trHeight w:val="70"/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6C5" w14:textId="18793155" w:rsidR="00F1215C" w:rsidRPr="004C539C" w:rsidRDefault="00F1215C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282F35" w:rsidRPr="004C539C" w14:paraId="224E9331" w14:textId="77777777" w:rsidTr="009518F0">
        <w:trPr>
          <w:trHeight w:val="458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05FF5" w14:textId="77777777" w:rsidR="00282F35" w:rsidRDefault="00282F35" w:rsidP="00282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Religious</w:t>
            </w:r>
          </w:p>
          <w:p w14:paraId="67D8BC1A" w14:textId="6E1D20C6" w:rsidR="00282F35" w:rsidRPr="004C539C" w:rsidRDefault="00282F35" w:rsidP="00282F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R-1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6EE2" w14:textId="2CA2F837" w:rsidR="00282F35" w:rsidRPr="004C539C" w:rsidRDefault="00302D57" w:rsidP="007954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Consumption per month</w:t>
            </w:r>
            <w:r w:rsidR="00282F3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</w:rPr>
              <w:t>(Incremental Block)</w:t>
            </w:r>
          </w:p>
        </w:tc>
      </w:tr>
      <w:tr w:rsidR="00282F35" w:rsidRPr="004C539C" w14:paraId="56B5ABA0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0919A" w14:textId="77777777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F0B8" w14:textId="00B526DD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 xml:space="preserve">Block 1: </w:t>
            </w:r>
            <w:r w:rsidRPr="004C539C">
              <w:rPr>
                <w:rFonts w:cstheme="minorHAnsi"/>
              </w:rPr>
              <w:t xml:space="preserve">0-30 </w:t>
            </w:r>
            <w:r w:rsidRPr="004C539C">
              <w:rPr>
                <w:rFonts w:eastAsia="Times New Roman" w:cstheme="minorHAnsi"/>
                <w:color w:val="000000"/>
              </w:rPr>
              <w:t>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AB84" w14:textId="49B10564" w:rsidR="00282F35" w:rsidRPr="004C539C" w:rsidRDefault="00282F35" w:rsidP="0079541F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8.00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ADDA4" w14:textId="2728B362" w:rsidR="00282F35" w:rsidRPr="004C539C" w:rsidRDefault="00282F35" w:rsidP="007954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90.00 </w:t>
            </w:r>
          </w:p>
        </w:tc>
      </w:tr>
      <w:tr w:rsidR="00282F35" w:rsidRPr="004C539C" w14:paraId="2B89B079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5D21C" w14:textId="77777777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A23EB" w14:textId="6AFE85F4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 xml:space="preserve">Block 2: </w:t>
            </w:r>
            <w:r w:rsidRPr="004C539C">
              <w:rPr>
                <w:rFonts w:cstheme="minorHAnsi"/>
              </w:rPr>
              <w:t xml:space="preserve">31-90 </w:t>
            </w:r>
            <w:r w:rsidRPr="004C539C">
              <w:rPr>
                <w:rFonts w:eastAsia="Times New Roman" w:cstheme="minorHAnsi"/>
                <w:color w:val="000000"/>
              </w:rPr>
              <w:t>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C78A" w14:textId="5F14F8D0" w:rsidR="00282F35" w:rsidRPr="004C539C" w:rsidRDefault="00282F35" w:rsidP="0079541F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15.00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BDEB" w14:textId="429A287E" w:rsidR="00282F35" w:rsidRPr="004C539C" w:rsidRDefault="00282F35" w:rsidP="007954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120.00 </w:t>
            </w:r>
          </w:p>
        </w:tc>
      </w:tr>
      <w:tr w:rsidR="00282F35" w:rsidRPr="004C539C" w14:paraId="29C3B0D1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5A4D" w14:textId="77777777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CC1A" w14:textId="7A3A485F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 xml:space="preserve">Block 3: </w:t>
            </w:r>
            <w:r w:rsidRPr="004C539C">
              <w:rPr>
                <w:rFonts w:cstheme="minorHAnsi"/>
              </w:rPr>
              <w:t xml:space="preserve">91-120 </w:t>
            </w:r>
            <w:r w:rsidRPr="004C539C">
              <w:rPr>
                <w:rFonts w:eastAsia="Times New Roman" w:cstheme="minorHAnsi"/>
                <w:color w:val="000000"/>
              </w:rPr>
              <w:t>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D97D" w14:textId="1C18E591" w:rsidR="00282F35" w:rsidRPr="004C539C" w:rsidRDefault="00282F35" w:rsidP="0079541F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20.00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544C" w14:textId="022BA4A0" w:rsidR="00282F35" w:rsidRPr="004C539C" w:rsidRDefault="00282F35" w:rsidP="007954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120.00 </w:t>
            </w:r>
          </w:p>
        </w:tc>
      </w:tr>
      <w:tr w:rsidR="00282F35" w:rsidRPr="004C539C" w14:paraId="6C5FBEAA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B3CC0" w14:textId="77777777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0729" w14:textId="34500421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 xml:space="preserve">Block 4: </w:t>
            </w:r>
            <w:r w:rsidRPr="004C539C">
              <w:rPr>
                <w:rFonts w:cstheme="minorHAnsi"/>
              </w:rPr>
              <w:t xml:space="preserve">121-180 </w:t>
            </w:r>
            <w:r w:rsidRPr="004C539C">
              <w:rPr>
                <w:rFonts w:eastAsia="Times New Roman" w:cstheme="minorHAnsi"/>
                <w:color w:val="000000"/>
              </w:rPr>
              <w:t>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8371" w14:textId="31C17F84" w:rsidR="00282F35" w:rsidRPr="004C539C" w:rsidRDefault="00282F35" w:rsidP="0079541F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30.00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4DD6" w14:textId="6745C52A" w:rsidR="00282F35" w:rsidRPr="004C539C" w:rsidRDefault="00282F35" w:rsidP="007954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450.00 </w:t>
            </w:r>
          </w:p>
        </w:tc>
      </w:tr>
      <w:tr w:rsidR="00282F35" w:rsidRPr="004C539C" w14:paraId="1FDC1D8A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8E3" w14:textId="77777777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C2EA1" w14:textId="36169EFE" w:rsidR="00282F35" w:rsidRPr="004C539C" w:rsidRDefault="00282F35" w:rsidP="007954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Block 5: Above 180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5C04A" w14:textId="5FBB00B6" w:rsidR="00282F35" w:rsidRPr="004C539C" w:rsidRDefault="00282F35" w:rsidP="0079541F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65.00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E9CA4" w14:textId="24173CBB" w:rsidR="00282F35" w:rsidRPr="004C539C" w:rsidRDefault="00282F35" w:rsidP="007954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1,500.00 </w:t>
            </w:r>
          </w:p>
        </w:tc>
      </w:tr>
      <w:tr w:rsidR="00F1215C" w:rsidRPr="004C539C" w14:paraId="08AD615A" w14:textId="77777777" w:rsidTr="009518F0">
        <w:trPr>
          <w:trHeight w:val="300"/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DD8" w14:textId="1439224D" w:rsidR="00F1215C" w:rsidRPr="004C539C" w:rsidRDefault="00F1215C" w:rsidP="007954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302D57" w:rsidRPr="004C539C" w14:paraId="34116799" w14:textId="77777777" w:rsidTr="009518F0">
        <w:trPr>
          <w:trHeight w:val="467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04DFC" w14:textId="77777777" w:rsidR="00302D57" w:rsidRDefault="00302D57" w:rsidP="00302D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Industry</w:t>
            </w:r>
          </w:p>
          <w:p w14:paraId="676A9522" w14:textId="20580DA6" w:rsidR="00302D57" w:rsidRPr="004C539C" w:rsidRDefault="00302D57" w:rsidP="00302D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I-1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6EF4" w14:textId="0C286C10" w:rsidR="00302D57" w:rsidRPr="004C539C" w:rsidRDefault="00302D57" w:rsidP="00956F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Consumption per month (Volume Differentiated)</w:t>
            </w:r>
          </w:p>
        </w:tc>
      </w:tr>
      <w:tr w:rsidR="00302D57" w:rsidRPr="004C539C" w14:paraId="6377DC81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06ED9" w14:textId="77777777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F5FB" w14:textId="7EE826AB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0-300 kWh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8909" w14:textId="39552642" w:rsidR="00302D57" w:rsidRPr="004C539C" w:rsidRDefault="00302D57" w:rsidP="00324CBA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20.00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2D2A5" w14:textId="4D1C64FA" w:rsidR="00302D57" w:rsidRPr="004C539C" w:rsidRDefault="00302D57" w:rsidP="00324CB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960.00</w:t>
            </w:r>
          </w:p>
        </w:tc>
      </w:tr>
      <w:tr w:rsidR="00302D57" w:rsidRPr="004C539C" w14:paraId="7BBD89C7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1805" w14:textId="77777777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3588" w14:textId="16495712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Above 300 kWh</w:t>
            </w: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94EC3" w14:textId="7A3F98D5" w:rsidR="00302D57" w:rsidRPr="004C539C" w:rsidRDefault="00302D57" w:rsidP="00324CBA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F7D0F" w14:textId="66383FBB" w:rsidR="00302D57" w:rsidRPr="004C539C" w:rsidRDefault="00302D57" w:rsidP="00324CB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1,500.00</w:t>
            </w:r>
          </w:p>
        </w:tc>
      </w:tr>
      <w:tr w:rsidR="00302D57" w:rsidRPr="004C539C" w14:paraId="56C13865" w14:textId="77777777" w:rsidTr="009518F0">
        <w:trPr>
          <w:trHeight w:val="30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4972" w14:textId="77777777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98E3" w14:textId="4A0C406C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b/>
                <w:bCs/>
                <w:color w:val="000000"/>
              </w:rPr>
              <w:t>Industrial – Optional Time of Use Tariff</w:t>
            </w:r>
            <w:r w:rsidRPr="004C539C">
              <w:rPr>
                <w:rFonts w:cstheme="minorHAnsi"/>
                <w:b/>
                <w:bCs/>
                <w:color w:val="000000"/>
              </w:rPr>
              <w:t> for Agriculture</w:t>
            </w:r>
          </w:p>
        </w:tc>
      </w:tr>
      <w:tr w:rsidR="00302D57" w:rsidRPr="004C539C" w14:paraId="6BA4D818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053F" w14:textId="77777777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CFDD" w14:textId="32DE8EEE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Peak (18:30 - 22:30 hours)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33F7" w14:textId="18C8E1F4" w:rsidR="00302D57" w:rsidRPr="004C539C" w:rsidRDefault="00302D57" w:rsidP="00C0445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35.00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6D0A" w14:textId="41142F09" w:rsidR="00302D57" w:rsidRPr="004C539C" w:rsidRDefault="00302D57" w:rsidP="00C04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>1,500.00</w:t>
            </w:r>
          </w:p>
        </w:tc>
      </w:tr>
      <w:tr w:rsidR="00302D57" w:rsidRPr="004C539C" w14:paraId="11AEEC21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AD10F" w14:textId="77777777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4FAD" w14:textId="5DBC11FC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Day (05:30 - 18:30 hours)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57C63" w14:textId="72C18114" w:rsidR="00302D57" w:rsidRPr="004C539C" w:rsidRDefault="00302D57" w:rsidP="00C0445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20.00 </w:t>
            </w:r>
          </w:p>
        </w:tc>
        <w:tc>
          <w:tcPr>
            <w:tcW w:w="20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801A1F5" w14:textId="77777777" w:rsidR="00302D57" w:rsidRPr="004C539C" w:rsidRDefault="00302D57" w:rsidP="00C04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302D57" w:rsidRPr="004C539C" w14:paraId="54DAF3A0" w14:textId="77777777" w:rsidTr="009518F0">
        <w:trPr>
          <w:trHeight w:val="70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BE1" w14:textId="77777777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2224" w14:textId="2102DE21" w:rsidR="00302D57" w:rsidRPr="004C539C" w:rsidRDefault="00302D57" w:rsidP="00C0445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Off-peak (22:30 – 05:30 hours)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A309" w14:textId="052D36C2" w:rsidR="00302D57" w:rsidRPr="004C539C" w:rsidRDefault="00302D57" w:rsidP="00C0445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15.00 </w:t>
            </w: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54F96" w14:textId="77777777" w:rsidR="00302D57" w:rsidRPr="004C539C" w:rsidRDefault="00302D57" w:rsidP="00C044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F1215C" w:rsidRPr="004C539C" w14:paraId="4BE32F7D" w14:textId="77777777" w:rsidTr="009518F0">
        <w:trPr>
          <w:trHeight w:val="70"/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F88" w14:textId="3CA16995" w:rsidR="00F1215C" w:rsidRPr="004C539C" w:rsidRDefault="00F1215C" w:rsidP="00425B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302D57" w:rsidRPr="004C539C" w14:paraId="3732A2E1" w14:textId="77777777" w:rsidTr="009518F0">
        <w:trPr>
          <w:trHeight w:val="485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709AA" w14:textId="43774DFB" w:rsidR="00302D57" w:rsidRPr="003A45F7" w:rsidRDefault="00302D57" w:rsidP="00302D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General Purpose</w:t>
            </w:r>
            <w:r w:rsidR="00F1215C">
              <w:rPr>
                <w:rFonts w:eastAsia="Times New Roman" w:cstheme="minorHAnsi"/>
                <w:b/>
                <w:bCs/>
                <w:color w:val="000000"/>
              </w:rPr>
              <w:t xml:space="preserve"> (GP-1),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Hotel</w:t>
            </w:r>
            <w:r w:rsidR="00F1215C">
              <w:rPr>
                <w:rFonts w:eastAsia="Times New Roman" w:cstheme="minorHAnsi"/>
                <w:b/>
                <w:bCs/>
                <w:color w:val="000000"/>
              </w:rPr>
              <w:t xml:space="preserve"> (H-1),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Governm</w:t>
            </w:r>
            <w:r w:rsidR="00F1215C">
              <w:rPr>
                <w:rFonts w:eastAsia="Times New Roman" w:cstheme="minorHAnsi"/>
                <w:b/>
                <w:bCs/>
                <w:color w:val="000000"/>
              </w:rPr>
              <w:t>en</w:t>
            </w:r>
            <w:r>
              <w:rPr>
                <w:rFonts w:eastAsia="Times New Roman" w:cstheme="minorHAnsi"/>
                <w:b/>
                <w:bCs/>
                <w:color w:val="000000"/>
              </w:rPr>
              <w:t>t (GV-1</w:t>
            </w:r>
            <w:r w:rsidR="00F1215C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CC4F" w14:textId="59E68AD9" w:rsidR="00302D57" w:rsidRPr="004C539C" w:rsidRDefault="00F1215C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Consumption per month (Volume Differentiated)</w:t>
            </w:r>
            <w:r w:rsidR="00302D57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</w:p>
        </w:tc>
      </w:tr>
      <w:tr w:rsidR="00302D57" w:rsidRPr="004C539C" w14:paraId="02051034" w14:textId="77777777" w:rsidTr="009518F0">
        <w:trPr>
          <w:trHeight w:val="476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E78B1" w14:textId="77777777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63B6" w14:textId="633A72AE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0-180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10C03" w14:textId="66305C69" w:rsidR="00302D57" w:rsidRPr="004C539C" w:rsidRDefault="00302D57" w:rsidP="00324CBA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25.00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D98E" w14:textId="68562174" w:rsidR="00302D57" w:rsidRPr="004C539C" w:rsidRDefault="00302D57" w:rsidP="00324CB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360.00 </w:t>
            </w:r>
          </w:p>
        </w:tc>
      </w:tr>
      <w:tr w:rsidR="00302D57" w:rsidRPr="004C539C" w14:paraId="7087881E" w14:textId="77777777" w:rsidTr="009518F0">
        <w:trPr>
          <w:trHeight w:val="170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7FC" w14:textId="77777777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58DC" w14:textId="61790553" w:rsidR="00302D57" w:rsidRPr="004C539C" w:rsidRDefault="00302D57" w:rsidP="00324CB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Above 180 kWh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ABB8" w14:textId="135CE1D1" w:rsidR="00302D57" w:rsidRPr="004C539C" w:rsidRDefault="00302D57" w:rsidP="00324CBA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32.00 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7A60" w14:textId="6D4FBAAE" w:rsidR="00302D57" w:rsidRPr="004C539C" w:rsidRDefault="00302D57" w:rsidP="00324CB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1,500.00 </w:t>
            </w:r>
          </w:p>
        </w:tc>
      </w:tr>
      <w:tr w:rsidR="00F1215C" w:rsidRPr="004C539C" w14:paraId="649768C7" w14:textId="77777777" w:rsidTr="009518F0">
        <w:trPr>
          <w:trHeight w:val="143"/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984" w14:textId="5446C1E5" w:rsidR="00F1215C" w:rsidRPr="004C539C" w:rsidRDefault="00F1215C" w:rsidP="00324CBA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282F35" w:rsidRPr="004C539C" w14:paraId="126BFE88" w14:textId="77777777" w:rsidTr="009518F0">
        <w:trPr>
          <w:trHeight w:val="30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7C1" w14:textId="77777777" w:rsidR="00282F35" w:rsidRPr="004C539C" w:rsidRDefault="00282F35" w:rsidP="00324CB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3982" w14:textId="650450E7" w:rsidR="00282F35" w:rsidRPr="004C539C" w:rsidRDefault="00282F35" w:rsidP="00324CBA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 w:rsidRPr="004C539C">
              <w:rPr>
                <w:rFonts w:cstheme="minorHAnsi"/>
                <w:b/>
                <w:bCs/>
              </w:rPr>
              <w:t>Street Lighting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B2B43" w14:textId="3BEB06BF" w:rsidR="00282F35" w:rsidRPr="004C539C" w:rsidRDefault="00282F35" w:rsidP="00324CBA">
            <w:pPr>
              <w:spacing w:after="0" w:line="240" w:lineRule="auto"/>
              <w:jc w:val="right"/>
              <w:rPr>
                <w:rFonts w:cstheme="minorHAnsi"/>
              </w:rPr>
            </w:pPr>
            <w:r w:rsidRPr="004C539C">
              <w:rPr>
                <w:rFonts w:cstheme="minorHAnsi"/>
              </w:rPr>
              <w:t>22.00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66B5" w14:textId="7A23975C" w:rsidR="00282F35" w:rsidRPr="004C539C" w:rsidRDefault="00282F35" w:rsidP="00324CBA">
            <w:pPr>
              <w:spacing w:after="0" w:line="240" w:lineRule="auto"/>
              <w:jc w:val="right"/>
              <w:rPr>
                <w:rFonts w:cstheme="minorHAnsi"/>
              </w:rPr>
            </w:pPr>
            <w:r w:rsidRPr="004C539C">
              <w:rPr>
                <w:rFonts w:cstheme="minorHAnsi"/>
              </w:rPr>
              <w:t>N/A</w:t>
            </w:r>
          </w:p>
        </w:tc>
      </w:tr>
    </w:tbl>
    <w:p w14:paraId="56AF06FD" w14:textId="77777777" w:rsidR="003A45F7" w:rsidRDefault="003A45F7" w:rsidP="000C6273">
      <w:pPr>
        <w:rPr>
          <w:rFonts w:cstheme="minorHAnsi"/>
          <w:b/>
          <w:bCs/>
          <w:sz w:val="24"/>
          <w:szCs w:val="24"/>
        </w:rPr>
      </w:pPr>
    </w:p>
    <w:p w14:paraId="60F801DE" w14:textId="7173C97E" w:rsidR="000C6273" w:rsidRPr="009518F0" w:rsidRDefault="000C6273" w:rsidP="000C6273">
      <w:pPr>
        <w:rPr>
          <w:rFonts w:cstheme="minorHAnsi"/>
          <w:b/>
          <w:bCs/>
          <w:sz w:val="24"/>
          <w:szCs w:val="24"/>
        </w:rPr>
      </w:pPr>
      <w:r w:rsidRPr="009518F0">
        <w:rPr>
          <w:rFonts w:cstheme="minorHAnsi"/>
          <w:b/>
          <w:bCs/>
          <w:sz w:val="24"/>
          <w:szCs w:val="24"/>
        </w:rPr>
        <w:lastRenderedPageBreak/>
        <w:t xml:space="preserve">End User Tariffs for </w:t>
      </w:r>
      <w:r w:rsidR="001D05DB" w:rsidRPr="009518F0">
        <w:rPr>
          <w:rFonts w:cstheme="minorHAnsi"/>
          <w:b/>
          <w:bCs/>
          <w:sz w:val="24"/>
          <w:szCs w:val="24"/>
        </w:rPr>
        <w:t xml:space="preserve">Low </w:t>
      </w:r>
      <w:r w:rsidR="009F1323" w:rsidRPr="009518F0">
        <w:rPr>
          <w:rFonts w:cstheme="minorHAnsi"/>
          <w:b/>
          <w:bCs/>
          <w:sz w:val="24"/>
          <w:szCs w:val="24"/>
        </w:rPr>
        <w:t>V</w:t>
      </w:r>
      <w:r w:rsidR="001D05DB" w:rsidRPr="009518F0">
        <w:rPr>
          <w:rFonts w:cstheme="minorHAnsi"/>
          <w:b/>
          <w:bCs/>
          <w:sz w:val="24"/>
          <w:szCs w:val="24"/>
        </w:rPr>
        <w:t xml:space="preserve">oltage </w:t>
      </w:r>
      <w:r w:rsidRPr="009518F0">
        <w:rPr>
          <w:rFonts w:cstheme="minorHAnsi"/>
          <w:b/>
          <w:bCs/>
          <w:sz w:val="24"/>
          <w:szCs w:val="24"/>
        </w:rPr>
        <w:t xml:space="preserve">Bulk Supply  </w:t>
      </w:r>
    </w:p>
    <w:p w14:paraId="69950C99" w14:textId="73E92354" w:rsidR="0026272D" w:rsidRPr="009518F0" w:rsidRDefault="00EF43DC" w:rsidP="003A45F7">
      <w:pPr>
        <w:jc w:val="both"/>
        <w:rPr>
          <w:rFonts w:cstheme="minorHAnsi"/>
          <w:b/>
          <w:bCs/>
        </w:rPr>
      </w:pPr>
      <w:r w:rsidRPr="009518F0">
        <w:rPr>
          <w:rFonts w:cstheme="minorHAnsi"/>
          <w:shd w:val="clear" w:color="auto" w:fill="FFFFFF"/>
        </w:rPr>
        <w:t>The following rates shall apply to supplies at each individual point of supply delivered and metered at 400/230 Volt nominal and where the contract demand exceeds 42 kVA.</w:t>
      </w:r>
      <w:r w:rsidR="003A45F7" w:rsidRPr="009518F0">
        <w:rPr>
          <w:rFonts w:cstheme="minorHAnsi"/>
          <w:shd w:val="clear" w:color="auto" w:fill="FFFFFF"/>
        </w:rPr>
        <w:t xml:space="preserve"> </w:t>
      </w:r>
      <w:bookmarkStart w:id="0" w:name="_Hlk110840904"/>
      <w:r w:rsidR="003A45F7" w:rsidRPr="009518F0">
        <w:rPr>
          <w:rFonts w:cstheme="minorHAnsi"/>
          <w:shd w:val="clear" w:color="auto" w:fill="FFFFFF"/>
        </w:rPr>
        <w:t>These Charges are applicable for all categories; Industr</w:t>
      </w:r>
      <w:r w:rsidR="00DD2BDA" w:rsidRPr="009518F0">
        <w:rPr>
          <w:rFonts w:cstheme="minorHAnsi"/>
          <w:shd w:val="clear" w:color="auto" w:fill="FFFFFF"/>
        </w:rPr>
        <w:t>y</w:t>
      </w:r>
      <w:r w:rsidR="007C7980" w:rsidRPr="009518F0">
        <w:rPr>
          <w:rFonts w:cstheme="minorHAnsi"/>
          <w:shd w:val="clear" w:color="auto" w:fill="FFFFFF"/>
        </w:rPr>
        <w:t xml:space="preserve"> (I-2)</w:t>
      </w:r>
      <w:r w:rsidR="003A45F7" w:rsidRPr="009518F0">
        <w:rPr>
          <w:rFonts w:cstheme="minorHAnsi"/>
          <w:shd w:val="clear" w:color="auto" w:fill="FFFFFF"/>
        </w:rPr>
        <w:t>, Hotel</w:t>
      </w:r>
      <w:r w:rsidR="007C7980" w:rsidRPr="009518F0">
        <w:rPr>
          <w:rFonts w:cstheme="minorHAnsi"/>
          <w:shd w:val="clear" w:color="auto" w:fill="FFFFFF"/>
        </w:rPr>
        <w:t xml:space="preserve"> (H-2)</w:t>
      </w:r>
      <w:r w:rsidR="003A45F7" w:rsidRPr="009518F0">
        <w:rPr>
          <w:rFonts w:cstheme="minorHAnsi"/>
          <w:shd w:val="clear" w:color="auto" w:fill="FFFFFF"/>
        </w:rPr>
        <w:t>, Government</w:t>
      </w:r>
      <w:r w:rsidR="007C7980" w:rsidRPr="009518F0">
        <w:rPr>
          <w:rFonts w:cstheme="minorHAnsi"/>
          <w:shd w:val="clear" w:color="auto" w:fill="FFFFFF"/>
        </w:rPr>
        <w:t xml:space="preserve"> (GV-2)</w:t>
      </w:r>
      <w:r w:rsidR="003A45F7" w:rsidRPr="009518F0">
        <w:rPr>
          <w:rFonts w:cstheme="minorHAnsi"/>
          <w:shd w:val="clear" w:color="auto" w:fill="FFFFFF"/>
        </w:rPr>
        <w:t xml:space="preserve"> and General Purpose</w:t>
      </w:r>
      <w:r w:rsidR="007C7980" w:rsidRPr="009518F0">
        <w:rPr>
          <w:rFonts w:cstheme="minorHAnsi"/>
          <w:shd w:val="clear" w:color="auto" w:fill="FFFFFF"/>
        </w:rPr>
        <w:t xml:space="preserve"> (GP-2)</w:t>
      </w:r>
      <w:r w:rsidR="003A45F7" w:rsidRPr="009518F0">
        <w:rPr>
          <w:rFonts w:cstheme="minorHAnsi"/>
          <w:shd w:val="clear" w:color="auto" w:fill="FFFFFF"/>
        </w:rPr>
        <w:t>.</w:t>
      </w:r>
      <w:bookmarkEnd w:id="0"/>
      <w:r w:rsidR="003A45F7" w:rsidRPr="009518F0">
        <w:rPr>
          <w:rFonts w:cstheme="minorHAnsi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169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1890"/>
        <w:gridCol w:w="2430"/>
      </w:tblGrid>
      <w:tr w:rsidR="009518F0" w:rsidRPr="009518F0" w14:paraId="1AA10B95" w14:textId="77777777" w:rsidTr="009D5C6C">
        <w:trPr>
          <w:trHeight w:val="737"/>
        </w:trPr>
        <w:tc>
          <w:tcPr>
            <w:tcW w:w="3415" w:type="dxa"/>
            <w:shd w:val="clear" w:color="auto" w:fill="auto"/>
            <w:vAlign w:val="center"/>
            <w:hideMark/>
          </w:tcPr>
          <w:p w14:paraId="4D492BBE" w14:textId="3C8307F8" w:rsidR="009D5C6C" w:rsidRPr="009518F0" w:rsidRDefault="00F375D3" w:rsidP="009D5C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18F0">
              <w:rPr>
                <w:rFonts w:eastAsia="Times New Roman" w:cstheme="minorHAnsi"/>
                <w:b/>
                <w:bCs/>
              </w:rPr>
              <w:t>Time of Use Period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B1FF2B1" w14:textId="1CCD8948" w:rsidR="009D5C6C" w:rsidRPr="009518F0" w:rsidRDefault="009D5C6C" w:rsidP="009D5C6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18F0">
              <w:rPr>
                <w:rFonts w:eastAsia="Times New Roman" w:cstheme="minorHAnsi"/>
                <w:b/>
                <w:bCs/>
              </w:rPr>
              <w:t xml:space="preserve">Energy </w:t>
            </w:r>
            <w:r w:rsidR="003A45F7" w:rsidRPr="009518F0">
              <w:rPr>
                <w:rFonts w:eastAsia="Times New Roman" w:cstheme="minorHAnsi"/>
                <w:b/>
                <w:bCs/>
              </w:rPr>
              <w:t>Charge</w:t>
            </w:r>
            <w:r w:rsidRPr="009518F0">
              <w:rPr>
                <w:rFonts w:eastAsia="Times New Roman" w:cstheme="minorHAnsi"/>
                <w:b/>
                <w:bCs/>
              </w:rPr>
              <w:t xml:space="preserve"> (LKR/kWh)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3AE3289" w14:textId="6B48C275" w:rsidR="009D5C6C" w:rsidRPr="009518F0" w:rsidRDefault="003A45F7" w:rsidP="009D5C6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18F0">
              <w:rPr>
                <w:rFonts w:eastAsia="Times New Roman" w:cstheme="minorHAnsi"/>
                <w:b/>
                <w:bCs/>
              </w:rPr>
              <w:t xml:space="preserve">Monthly </w:t>
            </w:r>
            <w:r w:rsidR="009D5C6C" w:rsidRPr="009518F0">
              <w:rPr>
                <w:rFonts w:eastAsia="Times New Roman" w:cstheme="minorHAnsi"/>
                <w:b/>
                <w:bCs/>
              </w:rPr>
              <w:t xml:space="preserve">Fixed </w:t>
            </w:r>
            <w:r w:rsidRPr="009518F0">
              <w:rPr>
                <w:rFonts w:eastAsia="Times New Roman" w:cstheme="minorHAnsi"/>
                <w:b/>
                <w:bCs/>
              </w:rPr>
              <w:t>C</w:t>
            </w:r>
            <w:r w:rsidR="009D5C6C" w:rsidRPr="009518F0">
              <w:rPr>
                <w:rFonts w:eastAsia="Times New Roman" w:cstheme="minorHAnsi"/>
                <w:b/>
                <w:bCs/>
              </w:rPr>
              <w:t xml:space="preserve">harge </w:t>
            </w:r>
            <w:r w:rsidR="009D5C6C" w:rsidRPr="009518F0">
              <w:rPr>
                <w:rFonts w:eastAsia="Times New Roman" w:cstheme="minorHAnsi"/>
                <w:b/>
                <w:bCs/>
              </w:rPr>
              <w:br/>
              <w:t>(LKR/month)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CD5A17D" w14:textId="752DAF55" w:rsidR="009D5C6C" w:rsidRPr="009518F0" w:rsidRDefault="003A45F7" w:rsidP="009D5C6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18F0">
              <w:rPr>
                <w:rFonts w:eastAsia="Times New Roman" w:cstheme="minorHAnsi"/>
                <w:b/>
                <w:bCs/>
              </w:rPr>
              <w:t xml:space="preserve">Monthly Maximum </w:t>
            </w:r>
            <w:r w:rsidR="009D5C6C" w:rsidRPr="009518F0">
              <w:rPr>
                <w:rFonts w:eastAsia="Times New Roman" w:cstheme="minorHAnsi"/>
                <w:b/>
                <w:bCs/>
              </w:rPr>
              <w:t xml:space="preserve">Demand </w:t>
            </w:r>
            <w:r w:rsidRPr="009518F0">
              <w:rPr>
                <w:rFonts w:eastAsia="Times New Roman" w:cstheme="minorHAnsi"/>
                <w:b/>
                <w:bCs/>
              </w:rPr>
              <w:t>C</w:t>
            </w:r>
            <w:r w:rsidR="009D5C6C" w:rsidRPr="009518F0">
              <w:rPr>
                <w:rFonts w:eastAsia="Times New Roman" w:cstheme="minorHAnsi"/>
                <w:b/>
                <w:bCs/>
              </w:rPr>
              <w:t>harge</w:t>
            </w:r>
            <w:r w:rsidR="009D5C6C" w:rsidRPr="009518F0">
              <w:rPr>
                <w:rFonts w:eastAsia="Times New Roman" w:cstheme="minorHAnsi"/>
                <w:b/>
                <w:bCs/>
              </w:rPr>
              <w:br/>
              <w:t xml:space="preserve"> (LKR/kVA)</w:t>
            </w:r>
          </w:p>
        </w:tc>
      </w:tr>
      <w:tr w:rsidR="009518F0" w:rsidRPr="009518F0" w14:paraId="49D39795" w14:textId="77777777" w:rsidTr="009D5C6C">
        <w:trPr>
          <w:trHeight w:val="294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2F461E6F" w14:textId="77777777" w:rsidR="009D5C6C" w:rsidRPr="009518F0" w:rsidRDefault="009D5C6C" w:rsidP="009D5C6C">
            <w:pPr>
              <w:spacing w:after="0" w:line="240" w:lineRule="auto"/>
              <w:rPr>
                <w:rFonts w:eastAsia="Times New Roman" w:cstheme="minorHAnsi"/>
              </w:rPr>
            </w:pPr>
            <w:r w:rsidRPr="009518F0">
              <w:rPr>
                <w:rFonts w:eastAsia="Times New Roman" w:cstheme="minorHAnsi"/>
              </w:rPr>
              <w:t>Peak (18:30 - 22:30 hours)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00A50DB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518F0">
              <w:rPr>
                <w:rFonts w:cstheme="minorHAnsi"/>
              </w:rPr>
              <w:t xml:space="preserve"> 34.50 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14:paraId="16CCB4CF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518F0">
              <w:rPr>
                <w:rFonts w:cstheme="minorHAnsi"/>
              </w:rPr>
              <w:t xml:space="preserve"> 4,000.00 </w:t>
            </w:r>
          </w:p>
        </w:tc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4641151B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518F0">
              <w:rPr>
                <w:rFonts w:cstheme="minorHAnsi"/>
              </w:rPr>
              <w:t xml:space="preserve"> 1,500.00 </w:t>
            </w:r>
          </w:p>
        </w:tc>
      </w:tr>
      <w:tr w:rsidR="009518F0" w:rsidRPr="009518F0" w14:paraId="222C958B" w14:textId="77777777" w:rsidTr="009D5C6C">
        <w:trPr>
          <w:trHeight w:val="294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556B02BF" w14:textId="77777777" w:rsidR="009D5C6C" w:rsidRPr="009518F0" w:rsidRDefault="009D5C6C" w:rsidP="009D5C6C">
            <w:pPr>
              <w:spacing w:after="0" w:line="240" w:lineRule="auto"/>
              <w:rPr>
                <w:rFonts w:eastAsia="Times New Roman" w:cstheme="minorHAnsi"/>
              </w:rPr>
            </w:pPr>
            <w:r w:rsidRPr="009518F0">
              <w:rPr>
                <w:rFonts w:eastAsia="Times New Roman" w:cstheme="minorHAnsi"/>
              </w:rPr>
              <w:t>Day (05:30 - 18:30 hours)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05554E81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518F0">
              <w:rPr>
                <w:rFonts w:cstheme="minorHAnsi"/>
              </w:rPr>
              <w:t xml:space="preserve"> 29.00 </w:t>
            </w:r>
          </w:p>
        </w:tc>
        <w:tc>
          <w:tcPr>
            <w:tcW w:w="1890" w:type="dxa"/>
            <w:vMerge/>
            <w:shd w:val="clear" w:color="auto" w:fill="auto"/>
            <w:noWrap/>
            <w:hideMark/>
          </w:tcPr>
          <w:p w14:paraId="34B15AAB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2430" w:type="dxa"/>
            <w:vMerge/>
            <w:shd w:val="clear" w:color="auto" w:fill="auto"/>
            <w:noWrap/>
            <w:hideMark/>
          </w:tcPr>
          <w:p w14:paraId="12F0279E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518F0" w:rsidRPr="009518F0" w14:paraId="2519AA50" w14:textId="77777777" w:rsidTr="009D5C6C">
        <w:trPr>
          <w:trHeight w:val="294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2371B15E" w14:textId="77777777" w:rsidR="009D5C6C" w:rsidRPr="009518F0" w:rsidRDefault="009D5C6C" w:rsidP="009D5C6C">
            <w:pPr>
              <w:spacing w:after="0" w:line="240" w:lineRule="auto"/>
              <w:rPr>
                <w:rFonts w:eastAsia="Times New Roman" w:cstheme="minorHAnsi"/>
              </w:rPr>
            </w:pPr>
            <w:r w:rsidRPr="009518F0">
              <w:rPr>
                <w:rFonts w:eastAsia="Times New Roman" w:cstheme="minorHAnsi"/>
              </w:rPr>
              <w:t>Off-peak (22:30 – 05:30 hours)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BAE1BA5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9518F0">
              <w:rPr>
                <w:rFonts w:cstheme="minorHAnsi"/>
              </w:rPr>
              <w:t xml:space="preserve"> 15.00 </w:t>
            </w:r>
          </w:p>
        </w:tc>
        <w:tc>
          <w:tcPr>
            <w:tcW w:w="1890" w:type="dxa"/>
            <w:vMerge/>
            <w:shd w:val="clear" w:color="auto" w:fill="auto"/>
            <w:noWrap/>
            <w:hideMark/>
          </w:tcPr>
          <w:p w14:paraId="41676122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2430" w:type="dxa"/>
            <w:vMerge/>
            <w:shd w:val="clear" w:color="auto" w:fill="auto"/>
            <w:noWrap/>
            <w:hideMark/>
          </w:tcPr>
          <w:p w14:paraId="3606272D" w14:textId="77777777" w:rsidR="009D5C6C" w:rsidRPr="009518F0" w:rsidRDefault="009D5C6C" w:rsidP="009D5C6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5373469F" w14:textId="77777777" w:rsidR="005A19CB" w:rsidRPr="009518F0" w:rsidRDefault="005A19CB" w:rsidP="0026272D">
      <w:pPr>
        <w:rPr>
          <w:rFonts w:cstheme="minorHAnsi"/>
          <w:b/>
          <w:bCs/>
        </w:rPr>
      </w:pPr>
    </w:p>
    <w:p w14:paraId="0E0CCA33" w14:textId="330439F0" w:rsidR="001D05DB" w:rsidRPr="009518F0" w:rsidRDefault="001D05DB" w:rsidP="001D05DB">
      <w:pPr>
        <w:rPr>
          <w:rFonts w:cstheme="minorHAnsi"/>
          <w:b/>
          <w:bCs/>
          <w:sz w:val="24"/>
          <w:szCs w:val="24"/>
        </w:rPr>
      </w:pPr>
      <w:r w:rsidRPr="009518F0">
        <w:rPr>
          <w:rFonts w:cstheme="minorHAnsi"/>
          <w:b/>
          <w:bCs/>
          <w:sz w:val="24"/>
          <w:szCs w:val="24"/>
        </w:rPr>
        <w:t xml:space="preserve">End User Tariffs for Medium </w:t>
      </w:r>
      <w:r w:rsidR="009F1323" w:rsidRPr="009518F0">
        <w:rPr>
          <w:rFonts w:cstheme="minorHAnsi"/>
          <w:b/>
          <w:bCs/>
          <w:sz w:val="24"/>
          <w:szCs w:val="24"/>
        </w:rPr>
        <w:t>V</w:t>
      </w:r>
      <w:r w:rsidRPr="009518F0">
        <w:rPr>
          <w:rFonts w:cstheme="minorHAnsi"/>
          <w:b/>
          <w:bCs/>
          <w:sz w:val="24"/>
          <w:szCs w:val="24"/>
        </w:rPr>
        <w:t xml:space="preserve">oltage Bulk Supply  </w:t>
      </w:r>
    </w:p>
    <w:p w14:paraId="1BB5CF96" w14:textId="09D2C4BE" w:rsidR="001D05DB" w:rsidRPr="009518F0" w:rsidRDefault="001D05DB" w:rsidP="003A45F7">
      <w:pPr>
        <w:jc w:val="both"/>
        <w:rPr>
          <w:rFonts w:cstheme="minorHAnsi"/>
          <w:b/>
          <w:bCs/>
        </w:rPr>
      </w:pPr>
      <w:r w:rsidRPr="009518F0">
        <w:rPr>
          <w:rFonts w:cstheme="minorHAnsi"/>
          <w:shd w:val="clear" w:color="auto" w:fill="FFFFFF"/>
        </w:rPr>
        <w:t>The following</w:t>
      </w:r>
      <w:r w:rsidR="004C539C" w:rsidRPr="009518F0">
        <w:rPr>
          <w:rFonts w:cstheme="minorHAnsi"/>
          <w:shd w:val="clear" w:color="auto" w:fill="FFFFFF"/>
        </w:rPr>
        <w:t xml:space="preserve"> rates shall apply to supplies at each individual point of supply delivered and metered at 11,000 Volt nominal and above.</w:t>
      </w:r>
      <w:r w:rsidR="003A45F7" w:rsidRPr="009518F0">
        <w:rPr>
          <w:rFonts w:cstheme="minorHAnsi"/>
          <w:shd w:val="clear" w:color="auto" w:fill="FFFFFF"/>
        </w:rPr>
        <w:t xml:space="preserve"> These Charges are applicable for all categories; Industr</w:t>
      </w:r>
      <w:r w:rsidR="00DD2BDA" w:rsidRPr="009518F0">
        <w:rPr>
          <w:rFonts w:cstheme="minorHAnsi"/>
          <w:shd w:val="clear" w:color="auto" w:fill="FFFFFF"/>
        </w:rPr>
        <w:t>y</w:t>
      </w:r>
      <w:r w:rsidR="007C7980" w:rsidRPr="009518F0">
        <w:rPr>
          <w:rFonts w:cstheme="minorHAnsi"/>
          <w:shd w:val="clear" w:color="auto" w:fill="FFFFFF"/>
        </w:rPr>
        <w:t xml:space="preserve"> (I-3)</w:t>
      </w:r>
      <w:r w:rsidR="003A45F7" w:rsidRPr="009518F0">
        <w:rPr>
          <w:rFonts w:cstheme="minorHAnsi"/>
          <w:shd w:val="clear" w:color="auto" w:fill="FFFFFF"/>
        </w:rPr>
        <w:t>, Hotel</w:t>
      </w:r>
      <w:r w:rsidR="007C7980" w:rsidRPr="009518F0">
        <w:rPr>
          <w:rFonts w:cstheme="minorHAnsi"/>
          <w:shd w:val="clear" w:color="auto" w:fill="FFFFFF"/>
        </w:rPr>
        <w:t xml:space="preserve"> (H-3)</w:t>
      </w:r>
      <w:r w:rsidR="003A45F7" w:rsidRPr="009518F0">
        <w:rPr>
          <w:rFonts w:cstheme="minorHAnsi"/>
          <w:shd w:val="clear" w:color="auto" w:fill="FFFFFF"/>
        </w:rPr>
        <w:t xml:space="preserve">, Government </w:t>
      </w:r>
      <w:r w:rsidR="007C7980" w:rsidRPr="009518F0">
        <w:rPr>
          <w:rFonts w:cstheme="minorHAnsi"/>
          <w:shd w:val="clear" w:color="auto" w:fill="FFFFFF"/>
        </w:rPr>
        <w:t xml:space="preserve">(GV-3) </w:t>
      </w:r>
      <w:r w:rsidR="003A45F7" w:rsidRPr="009518F0">
        <w:rPr>
          <w:rFonts w:cstheme="minorHAnsi"/>
          <w:shd w:val="clear" w:color="auto" w:fill="FFFFFF"/>
        </w:rPr>
        <w:t>and General Purpose</w:t>
      </w:r>
      <w:r w:rsidR="007C7980" w:rsidRPr="009518F0">
        <w:rPr>
          <w:rFonts w:cstheme="minorHAnsi"/>
          <w:shd w:val="clear" w:color="auto" w:fill="FFFFFF"/>
        </w:rPr>
        <w:t xml:space="preserve"> (GP-3)</w:t>
      </w:r>
      <w:r w:rsidR="003A45F7" w:rsidRPr="009518F0">
        <w:rPr>
          <w:rFonts w:cstheme="minorHAnsi"/>
          <w:shd w:val="clear" w:color="auto" w:fill="FFFFFF"/>
        </w:rPr>
        <w:t>.</w:t>
      </w:r>
    </w:p>
    <w:tbl>
      <w:tblPr>
        <w:tblpPr w:leftFromText="180" w:rightFromText="180" w:vertAnchor="text" w:horzAnchor="margin" w:tblpY="169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1890"/>
        <w:gridCol w:w="2430"/>
      </w:tblGrid>
      <w:tr w:rsidR="003A45F7" w:rsidRPr="004C539C" w14:paraId="19EB28FD" w14:textId="77777777" w:rsidTr="00681708">
        <w:trPr>
          <w:trHeight w:val="737"/>
        </w:trPr>
        <w:tc>
          <w:tcPr>
            <w:tcW w:w="3415" w:type="dxa"/>
            <w:shd w:val="clear" w:color="auto" w:fill="auto"/>
            <w:vAlign w:val="center"/>
            <w:hideMark/>
          </w:tcPr>
          <w:p w14:paraId="28E964CA" w14:textId="79978829" w:rsidR="003A45F7" w:rsidRPr="00F375D3" w:rsidRDefault="00F375D3" w:rsidP="003A45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75D3">
              <w:rPr>
                <w:rFonts w:eastAsia="Times New Roman" w:cstheme="minorHAnsi"/>
                <w:b/>
                <w:bCs/>
                <w:color w:val="000000"/>
              </w:rPr>
              <w:t xml:space="preserve">Time of Use </w:t>
            </w:r>
            <w:r w:rsidR="003A45F7" w:rsidRPr="00F375D3">
              <w:rPr>
                <w:rFonts w:eastAsia="Times New Roman" w:cstheme="minorHAnsi"/>
                <w:b/>
                <w:bCs/>
                <w:color w:val="000000"/>
              </w:rPr>
              <w:t>Period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CC752C" w14:textId="54062BCF" w:rsidR="003A45F7" w:rsidRPr="004C539C" w:rsidRDefault="003A45F7" w:rsidP="003A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Energy </w:t>
            </w:r>
            <w:r w:rsidR="00F1215C">
              <w:rPr>
                <w:rFonts w:eastAsia="Times New Roman" w:cstheme="minorHAnsi"/>
                <w:b/>
                <w:bCs/>
                <w:color w:val="000000"/>
              </w:rPr>
              <w:t>Charge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 (LKR/kWh)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AB7E004" w14:textId="5657FB7C" w:rsidR="003A45F7" w:rsidRPr="004C539C" w:rsidRDefault="003A45F7" w:rsidP="003A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Monthly 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Fixed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C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harge 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br/>
              <w:t>(LKR/month)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2B19DAC9" w14:textId="2716DF32" w:rsidR="003A45F7" w:rsidRPr="004C539C" w:rsidRDefault="003A45F7" w:rsidP="003A45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Monthly Maximum 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 xml:space="preserve">Demand </w:t>
            </w:r>
            <w:r>
              <w:rPr>
                <w:rFonts w:eastAsia="Times New Roman" w:cstheme="minorHAnsi"/>
                <w:b/>
                <w:bCs/>
                <w:color w:val="000000"/>
              </w:rPr>
              <w:t>C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t>harge</w:t>
            </w:r>
            <w:r w:rsidRPr="004C539C">
              <w:rPr>
                <w:rFonts w:eastAsia="Times New Roman" w:cstheme="minorHAnsi"/>
                <w:b/>
                <w:bCs/>
                <w:color w:val="000000"/>
              </w:rPr>
              <w:br/>
              <w:t xml:space="preserve"> (LKR/kVA)</w:t>
            </w:r>
          </w:p>
        </w:tc>
      </w:tr>
      <w:tr w:rsidR="004C539C" w:rsidRPr="004C539C" w14:paraId="7B17AA03" w14:textId="77777777" w:rsidTr="00681708">
        <w:trPr>
          <w:trHeight w:val="294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6D902ED3" w14:textId="77777777" w:rsidR="004C539C" w:rsidRPr="004C539C" w:rsidRDefault="004C539C" w:rsidP="004C53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Peak (18:30 - 22:30 hours)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614857" w14:textId="43C50FDB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34.00 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14:paraId="62211CD3" w14:textId="77777777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4,000.00 </w:t>
            </w:r>
          </w:p>
        </w:tc>
        <w:tc>
          <w:tcPr>
            <w:tcW w:w="2430" w:type="dxa"/>
            <w:vMerge w:val="restart"/>
            <w:shd w:val="clear" w:color="auto" w:fill="auto"/>
            <w:noWrap/>
            <w:vAlign w:val="center"/>
            <w:hideMark/>
          </w:tcPr>
          <w:p w14:paraId="2B5BC815" w14:textId="6B952E0C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1,400.00 </w:t>
            </w:r>
          </w:p>
        </w:tc>
      </w:tr>
      <w:tr w:rsidR="004C539C" w:rsidRPr="004C539C" w14:paraId="1A6301EC" w14:textId="77777777" w:rsidTr="00681708">
        <w:trPr>
          <w:trHeight w:val="294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55E233DE" w14:textId="77777777" w:rsidR="004C539C" w:rsidRPr="004C539C" w:rsidRDefault="004C539C" w:rsidP="004C53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Day (05:30 - 18:30 hours)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61ECB260" w14:textId="22741CAA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28.00 </w:t>
            </w:r>
          </w:p>
        </w:tc>
        <w:tc>
          <w:tcPr>
            <w:tcW w:w="1890" w:type="dxa"/>
            <w:vMerge/>
            <w:shd w:val="clear" w:color="auto" w:fill="auto"/>
            <w:noWrap/>
            <w:hideMark/>
          </w:tcPr>
          <w:p w14:paraId="5083E7D6" w14:textId="77777777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30" w:type="dxa"/>
            <w:vMerge/>
            <w:shd w:val="clear" w:color="auto" w:fill="auto"/>
            <w:noWrap/>
            <w:hideMark/>
          </w:tcPr>
          <w:p w14:paraId="6F61EA36" w14:textId="77777777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4C539C" w:rsidRPr="004C539C" w14:paraId="395FB544" w14:textId="77777777" w:rsidTr="00681708">
        <w:trPr>
          <w:trHeight w:val="294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634D6837" w14:textId="77777777" w:rsidR="004C539C" w:rsidRPr="004C539C" w:rsidRDefault="004C539C" w:rsidP="004C539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eastAsia="Times New Roman" w:cstheme="minorHAnsi"/>
                <w:color w:val="000000"/>
              </w:rPr>
              <w:t>Off-peak (22:30 – 05:30 hours)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BA3E9A3" w14:textId="4D979789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4C539C">
              <w:rPr>
                <w:rFonts w:cstheme="minorHAnsi"/>
              </w:rPr>
              <w:t xml:space="preserve"> 14.00 </w:t>
            </w:r>
          </w:p>
        </w:tc>
        <w:tc>
          <w:tcPr>
            <w:tcW w:w="1890" w:type="dxa"/>
            <w:vMerge/>
            <w:shd w:val="clear" w:color="auto" w:fill="auto"/>
            <w:noWrap/>
            <w:hideMark/>
          </w:tcPr>
          <w:p w14:paraId="4A46DC05" w14:textId="77777777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30" w:type="dxa"/>
            <w:vMerge/>
            <w:shd w:val="clear" w:color="auto" w:fill="auto"/>
            <w:noWrap/>
            <w:hideMark/>
          </w:tcPr>
          <w:p w14:paraId="1B738270" w14:textId="77777777" w:rsidR="004C539C" w:rsidRPr="004C539C" w:rsidRDefault="004C539C" w:rsidP="004C53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</w:tbl>
    <w:p w14:paraId="27B9BC7C" w14:textId="77777777" w:rsidR="001D05DB" w:rsidRPr="004C539C" w:rsidRDefault="001D05DB" w:rsidP="001D05DB">
      <w:pPr>
        <w:rPr>
          <w:rFonts w:cstheme="minorHAnsi"/>
          <w:b/>
          <w:bCs/>
        </w:rPr>
      </w:pPr>
    </w:p>
    <w:p w14:paraId="62C745D7" w14:textId="30C54CD0" w:rsidR="002C3FBF" w:rsidRDefault="00F375D3" w:rsidP="009D5C6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Other Decisions</w:t>
      </w:r>
    </w:p>
    <w:p w14:paraId="1C208E5F" w14:textId="7073E80C" w:rsidR="00F375D3" w:rsidRPr="00F375D3" w:rsidRDefault="00F375D3" w:rsidP="00F375D3">
      <w:pPr>
        <w:pStyle w:val="ListParagraph"/>
        <w:numPr>
          <w:ilvl w:val="0"/>
          <w:numId w:val="10"/>
        </w:numPr>
        <w:jc w:val="both"/>
        <w:rPr>
          <w:rFonts w:cstheme="minorHAnsi"/>
          <w:b/>
          <w:bCs/>
        </w:rPr>
      </w:pPr>
      <w:r>
        <w:t>In case of Low Voltage Retail supply, Monthly Fixed Charge for consumers with solar roof tops under Net</w:t>
      </w:r>
      <w:r w:rsidR="0071294C">
        <w:t>-M</w:t>
      </w:r>
      <w:r>
        <w:t>etering and Net</w:t>
      </w:r>
      <w:r w:rsidR="0071294C">
        <w:t>-</w:t>
      </w:r>
      <w:r>
        <w:t>Accounting schemes shall be charged the Monthly Fixed Charge applicable to their net imported e</w:t>
      </w:r>
      <w:r w:rsidR="00B342DB">
        <w:t>lectricity</w:t>
      </w:r>
      <w:r>
        <w:t>.</w:t>
      </w:r>
    </w:p>
    <w:p w14:paraId="53EDBD56" w14:textId="6D90E312" w:rsidR="003146E1" w:rsidRDefault="0071294C" w:rsidP="00B979A6">
      <w:pPr>
        <w:pStyle w:val="ListParagraph"/>
        <w:numPr>
          <w:ilvl w:val="0"/>
          <w:numId w:val="10"/>
        </w:numPr>
        <w:jc w:val="both"/>
        <w:rPr>
          <w:rStyle w:val="Strong"/>
          <w:b w:val="0"/>
          <w:bCs w:val="0"/>
        </w:rPr>
      </w:pPr>
      <w:r w:rsidRPr="0071294C">
        <w:rPr>
          <w:rStyle w:val="Strong"/>
          <w:b w:val="0"/>
          <w:bCs w:val="0"/>
        </w:rPr>
        <w:t xml:space="preserve">Industry, Hotel and General-Purpose category consumers who earn more than 60% of their revenue in foreign currency are required to pay their electricity bills in </w:t>
      </w:r>
      <w:r w:rsidR="00484D4F">
        <w:rPr>
          <w:rStyle w:val="Strong"/>
          <w:b w:val="0"/>
          <w:bCs w:val="0"/>
        </w:rPr>
        <w:t>United States Dollars (</w:t>
      </w:r>
      <w:r w:rsidRPr="0071294C">
        <w:rPr>
          <w:rStyle w:val="Strong"/>
          <w:b w:val="0"/>
          <w:bCs w:val="0"/>
        </w:rPr>
        <w:t>USD</w:t>
      </w:r>
      <w:r w:rsidR="00484D4F">
        <w:rPr>
          <w:rStyle w:val="Strong"/>
          <w:b w:val="0"/>
          <w:bCs w:val="0"/>
        </w:rPr>
        <w:t>)</w:t>
      </w:r>
      <w:r w:rsidRPr="0071294C">
        <w:rPr>
          <w:rStyle w:val="Strong"/>
          <w:b w:val="0"/>
          <w:bCs w:val="0"/>
        </w:rPr>
        <w:t xml:space="preserve"> converted at the buying rate declared by the Central Bank of Sri Lanka</w:t>
      </w:r>
      <w:r>
        <w:rPr>
          <w:rStyle w:val="Strong"/>
          <w:b w:val="0"/>
          <w:bCs w:val="0"/>
        </w:rPr>
        <w:t xml:space="preserve"> for the date at which the bill is settled</w:t>
      </w:r>
      <w:r w:rsidRPr="0071294C">
        <w:rPr>
          <w:rStyle w:val="Strong"/>
          <w:b w:val="0"/>
          <w:bCs w:val="0"/>
        </w:rPr>
        <w:t xml:space="preserve">.  </w:t>
      </w:r>
      <w:r w:rsidR="00D17E91">
        <w:rPr>
          <w:rStyle w:val="Strong"/>
          <w:b w:val="0"/>
          <w:bCs w:val="0"/>
        </w:rPr>
        <w:t xml:space="preserve">The Consumers who fall under this scheme shall be given 1.5% discount on their bills. </w:t>
      </w:r>
      <w:r w:rsidRPr="0071294C">
        <w:rPr>
          <w:rStyle w:val="Strong"/>
          <w:b w:val="0"/>
          <w:bCs w:val="0"/>
        </w:rPr>
        <w:t xml:space="preserve">This </w:t>
      </w:r>
      <w:r w:rsidR="00A30E17">
        <w:rPr>
          <w:rStyle w:val="Strong"/>
          <w:b w:val="0"/>
          <w:bCs w:val="0"/>
        </w:rPr>
        <w:t>scheme</w:t>
      </w:r>
      <w:r w:rsidRPr="0071294C">
        <w:rPr>
          <w:rStyle w:val="Strong"/>
          <w:b w:val="0"/>
          <w:bCs w:val="0"/>
        </w:rPr>
        <w:t xml:space="preserve"> will be effective from 1</w:t>
      </w:r>
      <w:r w:rsidRPr="0071294C">
        <w:rPr>
          <w:rStyle w:val="Strong"/>
          <w:b w:val="0"/>
          <w:bCs w:val="0"/>
          <w:vertAlign w:val="superscript"/>
        </w:rPr>
        <w:t>st</w:t>
      </w:r>
      <w:r w:rsidRPr="0071294C">
        <w:rPr>
          <w:rStyle w:val="Strong"/>
          <w:b w:val="0"/>
          <w:bCs w:val="0"/>
        </w:rPr>
        <w:t xml:space="preserve"> September 2022.</w:t>
      </w:r>
    </w:p>
    <w:p w14:paraId="251DE9AA" w14:textId="25BA6F85" w:rsidR="00D17E91" w:rsidRDefault="00D17E91" w:rsidP="00B979A6">
      <w:pPr>
        <w:pStyle w:val="ListParagraph"/>
        <w:numPr>
          <w:ilvl w:val="0"/>
          <w:numId w:val="10"/>
        </w:numPr>
        <w:jc w:val="both"/>
      </w:pPr>
      <w:r>
        <w:rPr>
          <w:rStyle w:val="Strong"/>
          <w:b w:val="0"/>
          <w:bCs w:val="0"/>
        </w:rPr>
        <w:t xml:space="preserve">Hotel category consumers will be </w:t>
      </w:r>
      <w:r w:rsidR="00A30E17">
        <w:rPr>
          <w:rStyle w:val="Strong"/>
          <w:b w:val="0"/>
          <w:bCs w:val="0"/>
        </w:rPr>
        <w:t>charged</w:t>
      </w:r>
      <w:r>
        <w:rPr>
          <w:rStyle w:val="Strong"/>
          <w:b w:val="0"/>
          <w:bCs w:val="0"/>
        </w:rPr>
        <w:t xml:space="preserve"> 50% of the tariff increase </w:t>
      </w:r>
      <w:r w:rsidR="00A30E17">
        <w:rPr>
          <w:rStyle w:val="Strong"/>
          <w:b w:val="0"/>
          <w:bCs w:val="0"/>
        </w:rPr>
        <w:t>with effect from 10</w:t>
      </w:r>
      <w:r w:rsidR="00A30E17" w:rsidRPr="00A30E17">
        <w:rPr>
          <w:rStyle w:val="Strong"/>
          <w:b w:val="0"/>
          <w:bCs w:val="0"/>
          <w:vertAlign w:val="superscript"/>
        </w:rPr>
        <w:t>th</w:t>
      </w:r>
      <w:r w:rsidR="00A30E17">
        <w:rPr>
          <w:rStyle w:val="Strong"/>
          <w:b w:val="0"/>
          <w:bCs w:val="0"/>
        </w:rPr>
        <w:t xml:space="preserve"> August 2022</w:t>
      </w:r>
      <w:r>
        <w:rPr>
          <w:rStyle w:val="Strong"/>
          <w:b w:val="0"/>
          <w:bCs w:val="0"/>
        </w:rPr>
        <w:t>, and the balance 50% will be effective from 10</w:t>
      </w:r>
      <w:r w:rsidRPr="00D17E91">
        <w:rPr>
          <w:rStyle w:val="Strong"/>
          <w:b w:val="0"/>
          <w:bCs w:val="0"/>
          <w:vertAlign w:val="superscript"/>
        </w:rPr>
        <w:t>th</w:t>
      </w:r>
      <w:r>
        <w:rPr>
          <w:rStyle w:val="Strong"/>
          <w:b w:val="0"/>
          <w:bCs w:val="0"/>
        </w:rPr>
        <w:t xml:space="preserve"> November 2022. </w:t>
      </w:r>
    </w:p>
    <w:sectPr w:rsidR="00D17E91" w:rsidSect="00A30E17">
      <w:headerReference w:type="default" r:id="rId7"/>
      <w:footerReference w:type="default" r:id="rId8"/>
      <w:pgSz w:w="12240" w:h="15840"/>
      <w:pgMar w:top="810" w:right="99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9C7C" w14:textId="77777777" w:rsidR="00D716A7" w:rsidRDefault="00D716A7" w:rsidP="0035662D">
      <w:pPr>
        <w:spacing w:after="0" w:line="240" w:lineRule="auto"/>
      </w:pPr>
      <w:r>
        <w:separator/>
      </w:r>
    </w:p>
  </w:endnote>
  <w:endnote w:type="continuationSeparator" w:id="0">
    <w:p w14:paraId="462B1FFE" w14:textId="77777777" w:rsidR="00D716A7" w:rsidRDefault="00D716A7" w:rsidP="0035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34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D0371" w14:textId="7227DC1C" w:rsidR="00EF4F3B" w:rsidRDefault="00EF4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A53BE" w14:textId="77777777" w:rsidR="00EF4F3B" w:rsidRDefault="00EF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2D92" w14:textId="77777777" w:rsidR="00D716A7" w:rsidRDefault="00D716A7" w:rsidP="0035662D">
      <w:pPr>
        <w:spacing w:after="0" w:line="240" w:lineRule="auto"/>
      </w:pPr>
      <w:r>
        <w:separator/>
      </w:r>
    </w:p>
  </w:footnote>
  <w:footnote w:type="continuationSeparator" w:id="0">
    <w:p w14:paraId="70DDCB91" w14:textId="77777777" w:rsidR="00D716A7" w:rsidRDefault="00D716A7" w:rsidP="0035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C970" w14:textId="346329D2" w:rsidR="009C2DBC" w:rsidRDefault="009518F0" w:rsidP="009C2DBC">
    <w:pPr>
      <w:pStyle w:val="Header"/>
      <w:jc w:val="right"/>
    </w:pPr>
    <w: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727"/>
    <w:multiLevelType w:val="hybridMultilevel"/>
    <w:tmpl w:val="E6FE3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49E"/>
    <w:multiLevelType w:val="hybridMultilevel"/>
    <w:tmpl w:val="2A9ABD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A529C"/>
    <w:multiLevelType w:val="hybridMultilevel"/>
    <w:tmpl w:val="03E023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80781"/>
    <w:multiLevelType w:val="hybridMultilevel"/>
    <w:tmpl w:val="1BAC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A0775"/>
    <w:multiLevelType w:val="hybridMultilevel"/>
    <w:tmpl w:val="3B1058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A3A3E"/>
    <w:multiLevelType w:val="hybridMultilevel"/>
    <w:tmpl w:val="2318D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494A46"/>
    <w:multiLevelType w:val="hybridMultilevel"/>
    <w:tmpl w:val="E6FE3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32931"/>
    <w:multiLevelType w:val="hybridMultilevel"/>
    <w:tmpl w:val="2A9ABD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2608AE"/>
    <w:multiLevelType w:val="hybridMultilevel"/>
    <w:tmpl w:val="372885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A0F4D"/>
    <w:multiLevelType w:val="hybridMultilevel"/>
    <w:tmpl w:val="4ACE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34969">
    <w:abstractNumId w:val="0"/>
  </w:num>
  <w:num w:numId="2" w16cid:durableId="976564335">
    <w:abstractNumId w:val="5"/>
  </w:num>
  <w:num w:numId="3" w16cid:durableId="632566807">
    <w:abstractNumId w:val="6"/>
  </w:num>
  <w:num w:numId="4" w16cid:durableId="351104616">
    <w:abstractNumId w:val="7"/>
  </w:num>
  <w:num w:numId="5" w16cid:durableId="589310995">
    <w:abstractNumId w:val="8"/>
  </w:num>
  <w:num w:numId="6" w16cid:durableId="45766778">
    <w:abstractNumId w:val="2"/>
  </w:num>
  <w:num w:numId="7" w16cid:durableId="1346906954">
    <w:abstractNumId w:val="1"/>
  </w:num>
  <w:num w:numId="8" w16cid:durableId="1383097094">
    <w:abstractNumId w:val="4"/>
  </w:num>
  <w:num w:numId="9" w16cid:durableId="1688868861">
    <w:abstractNumId w:val="9"/>
  </w:num>
  <w:num w:numId="10" w16cid:durableId="1855415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CD"/>
    <w:rsid w:val="00013F29"/>
    <w:rsid w:val="00080FCF"/>
    <w:rsid w:val="00081DA6"/>
    <w:rsid w:val="000C6273"/>
    <w:rsid w:val="000F32D8"/>
    <w:rsid w:val="000F58A9"/>
    <w:rsid w:val="00146DC0"/>
    <w:rsid w:val="001D05DB"/>
    <w:rsid w:val="001F5267"/>
    <w:rsid w:val="00210A83"/>
    <w:rsid w:val="002358C8"/>
    <w:rsid w:val="00245D9D"/>
    <w:rsid w:val="0026272D"/>
    <w:rsid w:val="00272CE1"/>
    <w:rsid w:val="00277400"/>
    <w:rsid w:val="00282F35"/>
    <w:rsid w:val="002B134A"/>
    <w:rsid w:val="002B31F8"/>
    <w:rsid w:val="002C3FBF"/>
    <w:rsid w:val="00302D57"/>
    <w:rsid w:val="003146E1"/>
    <w:rsid w:val="00324CBA"/>
    <w:rsid w:val="00345065"/>
    <w:rsid w:val="0035662D"/>
    <w:rsid w:val="0036159E"/>
    <w:rsid w:val="003A45F7"/>
    <w:rsid w:val="003B2BDB"/>
    <w:rsid w:val="003D780E"/>
    <w:rsid w:val="00405A17"/>
    <w:rsid w:val="00425B39"/>
    <w:rsid w:val="004428DD"/>
    <w:rsid w:val="00470220"/>
    <w:rsid w:val="00484D4F"/>
    <w:rsid w:val="004C539C"/>
    <w:rsid w:val="0053091D"/>
    <w:rsid w:val="005A19CB"/>
    <w:rsid w:val="005A2CD7"/>
    <w:rsid w:val="00601938"/>
    <w:rsid w:val="00602FDB"/>
    <w:rsid w:val="006141E7"/>
    <w:rsid w:val="0062205C"/>
    <w:rsid w:val="00640E61"/>
    <w:rsid w:val="00655F9C"/>
    <w:rsid w:val="00666524"/>
    <w:rsid w:val="006B0F3F"/>
    <w:rsid w:val="006C2603"/>
    <w:rsid w:val="006F07A6"/>
    <w:rsid w:val="0071294C"/>
    <w:rsid w:val="00737F89"/>
    <w:rsid w:val="007458F4"/>
    <w:rsid w:val="00754458"/>
    <w:rsid w:val="00761104"/>
    <w:rsid w:val="0079541F"/>
    <w:rsid w:val="007A21C2"/>
    <w:rsid w:val="007B3E08"/>
    <w:rsid w:val="007C1CFE"/>
    <w:rsid w:val="007C7980"/>
    <w:rsid w:val="007E6979"/>
    <w:rsid w:val="00864855"/>
    <w:rsid w:val="008C7017"/>
    <w:rsid w:val="009144A1"/>
    <w:rsid w:val="009518F0"/>
    <w:rsid w:val="00956FAF"/>
    <w:rsid w:val="00971434"/>
    <w:rsid w:val="009C2DBC"/>
    <w:rsid w:val="009D5C6C"/>
    <w:rsid w:val="009F1323"/>
    <w:rsid w:val="00A07B04"/>
    <w:rsid w:val="00A1402E"/>
    <w:rsid w:val="00A30E17"/>
    <w:rsid w:val="00A96BCD"/>
    <w:rsid w:val="00B32FC8"/>
    <w:rsid w:val="00B342DB"/>
    <w:rsid w:val="00B43D28"/>
    <w:rsid w:val="00B876CB"/>
    <w:rsid w:val="00BB3E70"/>
    <w:rsid w:val="00BF2138"/>
    <w:rsid w:val="00C04451"/>
    <w:rsid w:val="00C42BEF"/>
    <w:rsid w:val="00CB1170"/>
    <w:rsid w:val="00CC3D77"/>
    <w:rsid w:val="00CD5520"/>
    <w:rsid w:val="00CE5968"/>
    <w:rsid w:val="00D17E91"/>
    <w:rsid w:val="00D63031"/>
    <w:rsid w:val="00D65C6B"/>
    <w:rsid w:val="00D716A7"/>
    <w:rsid w:val="00D81908"/>
    <w:rsid w:val="00DD2BDA"/>
    <w:rsid w:val="00DE29B1"/>
    <w:rsid w:val="00E02C98"/>
    <w:rsid w:val="00E46BFE"/>
    <w:rsid w:val="00EF43DC"/>
    <w:rsid w:val="00EF4F3B"/>
    <w:rsid w:val="00F1215C"/>
    <w:rsid w:val="00F375D3"/>
    <w:rsid w:val="00F54343"/>
    <w:rsid w:val="00F94555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2274"/>
  <w15:chartTrackingRefBased/>
  <w15:docId w15:val="{3C8A728B-202A-431A-93D2-7464DD1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62D"/>
  </w:style>
  <w:style w:type="paragraph" w:styleId="Footer">
    <w:name w:val="footer"/>
    <w:basedOn w:val="Normal"/>
    <w:link w:val="FooterChar"/>
    <w:uiPriority w:val="99"/>
    <w:unhideWhenUsed/>
    <w:rsid w:val="00356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62D"/>
  </w:style>
  <w:style w:type="character" w:styleId="Strong">
    <w:name w:val="Strong"/>
    <w:basedOn w:val="DefaultParagraphFont"/>
    <w:uiPriority w:val="22"/>
    <w:qFormat/>
    <w:rsid w:val="0071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Erandi</dc:creator>
  <cp:keywords/>
  <dc:description/>
  <cp:lastModifiedBy>Erandi</cp:lastModifiedBy>
  <cp:revision>2</cp:revision>
  <cp:lastPrinted>2022-08-08T03:33:00Z</cp:lastPrinted>
  <dcterms:created xsi:type="dcterms:W3CDTF">2022-08-09T06:02:00Z</dcterms:created>
  <dcterms:modified xsi:type="dcterms:W3CDTF">2022-08-09T06:02:00Z</dcterms:modified>
</cp:coreProperties>
</file>